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UMJETNIČKA ŠKOLA FORTUNAT PINTARIĆ KOPRIVNICA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23.05.2022</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28.06.2019</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 JN-MV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OSIGURANJE OSOBA,VOZILA I IMOVINE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osiguranje d.d. 26187994862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01.10.2021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 30.09.2022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5.971,32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5.971,32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30.09.2022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NABAVU PROVODI OSNIVAČ</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1/21-JDN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OPSKRBA ELEKTRIČNOM ENERGIJOM</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O-22-266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JEDNA GODINA 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7.308,67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1.827,17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9.135,84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9.135,84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NABAVU PROVODI GRAD</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2/21-JN-MV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POŠTANSKE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17.12.2021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02-031848/21-15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JEDNA GODINA 31.12.2022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4.823,00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299,93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5.122,93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5.122,93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NABAVU PROVODI OSNIVAČ</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1/21-JDN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SISTEMATSKI PREGLED ZAPOSLENIKA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85110000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Croatia poliklinika 80848401890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430-01/22-01/2,2137-83-22-01-1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 (14.02.2022-13.02.202)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41.040,00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41.040,00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6/22 JN-MV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HIGIJENSKOG MATERIJALA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33741100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ORCUS PLUS d.o.o. 70812508533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400-03/22-02/0006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25.03.2022-24.03.2023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5.578,58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1.371,86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6.950,44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24.03.2023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6.950,44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7/20 JN-MV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GOVORNIH I PODATKOVNIH USLUGA U NEPOKRETNOJ TELEKOMUNIKACIJSKOJ MREŽI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 1 Hrvatska d.o.o. 29524210204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1001116054/2020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18.02.2022-18.02.2023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3.324,00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831,00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4.155,00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4.155,00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04/22-JDN</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FOTOKOPIRNI PAPIR</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30197630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Narodne novine 64546066176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430-9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 20.04.2022-19.04.2022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4.218,50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1.054,63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5.273,13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18.04.2023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5.273,13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23.05.2022</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24.02.2023 10:24</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